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9E75"/>
          <w:sz w:val="40"/>
          <w:szCs w:val="40"/>
        </w:rPr>
        <w:t xml:space="preserve">DATA PROCESSING AGREEMENT</w:t>
      </w:r>
    </w:p>
    <w:p>
      <w:pPr>
        <w:spacing w:after="40" w:before="0"/>
        <w:jc w:val="center"/>
      </w:pPr>
      <w:r>
        <w:rPr>
          <w:rFonts w:ascii="Arial" w:cs="Arial" w:eastAsia="Arial" w:hAnsi="Arial"/>
          <w:i/>
          <w:iCs/>
          <w:color w:val="888888"/>
          <w:sz w:val="20"/>
          <w:szCs w:val="20"/>
        </w:rPr>
        <w:t xml:space="preserve">pursuant to Article 28 of the General Data Protection Regulation (GDPR)</w:t>
      </w:r>
    </w:p>
    <w:p>
      <w:pPr>
        <w:spacing w:after="480" w:before="0"/>
        <w:jc w:val="center"/>
      </w:pPr>
      <w:r>
        <w:rPr>
          <w:rFonts w:ascii="Arial" w:cs="Arial" w:eastAsia="Arial" w:hAnsi="Arial"/>
          <w:color w:val="888888"/>
          <w:sz w:val="18"/>
          <w:szCs w:val="18"/>
        </w:rPr>
        <w:t xml:space="preserve">Version 1.0  |  Effective date: [DATE]</w:t>
      </w:r>
    </w:p>
    <w:p>
      <w:pPr>
        <w:pStyle w:val="Heading1"/>
        <w:pBdr>
          <w:bottom w:val="single" w:color="1A9E75" w:sz="4" w:space="4"/>
        </w:pBdr>
        <w:spacing w:after="120" w:before="360"/>
      </w:pPr>
      <w:r>
        <w:rPr>
          <w:rFonts w:ascii="Arial" w:cs="Arial" w:eastAsia="Arial" w:hAnsi="Arial"/>
          <w:b/>
          <w:bCs/>
          <w:color w:val="1A9E75"/>
          <w:sz w:val="28"/>
          <w:szCs w:val="28"/>
        </w:rPr>
        <w:t xml:space="preserve">1. Parties</w:t>
      </w:r>
    </w:p>
    <w:p>
      <w:pPr>
        <w:spacing w:after="80" w:before="80"/>
      </w:pPr>
      <w:r>
        <w:rPr>
          <w:rFonts w:ascii="Arial" w:cs="Arial" w:eastAsia="Arial" w:hAnsi="Arial"/>
          <w:color w:val="333333"/>
          <w:sz w:val="20"/>
          <w:szCs w:val="20"/>
        </w:rPr>
        <w:t xml:space="preserve">This Data Processing Agreement ("DPA") is entered into between:</w:t>
      </w:r>
    </w:p>
    <w:p>
      <w:pPr>
        <w:spacing w:after="60" w:before="120"/>
      </w:pPr>
      <w:r>
        <w:rPr>
          <w:rFonts w:ascii="Arial" w:cs="Arial" w:eastAsia="Arial" w:hAnsi="Arial"/>
          <w:b/>
          <w:bCs/>
          <w:color w:val="333333"/>
          <w:sz w:val="20"/>
          <w:szCs w:val="20"/>
        </w:rPr>
        <w:t xml:space="preserve">The Controller: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Name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[School Name]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Address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[School Address]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Country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[Country]</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Representative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and Title]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[Contact Email]</w:t>
            </w:r>
          </w:p>
        </w:tc>
      </w:tr>
    </w:tbl>
    <w:p>
      <w:pPr>
        <w:spacing w:after="60" w:before="240"/>
      </w:pPr>
      <w:r>
        <w:rPr>
          <w:rFonts w:ascii="Arial" w:cs="Arial" w:eastAsia="Arial" w:hAnsi="Arial"/>
          <w:b/>
          <w:bCs/>
          <w:color w:val="333333"/>
          <w:sz w:val="20"/>
          <w:szCs w:val="20"/>
        </w:rPr>
        <w:t xml:space="preserve">The Processor: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Name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Zulfi Moon, trading as LessonsLearnt.eu</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Address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Salyno g. 13-1, Kaunas 47166, Lithuania</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Country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Lithuania (European Union)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Representative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Zulfi Moon, Founder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support@lessonslearnt.eu</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Website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www.lessonslearnt.eu</w:t>
            </w:r>
          </w:p>
        </w:tc>
      </w:tr>
    </w:tbl>
    <w:p>
      <w:pPr>
        <w:spacing w:after="0" w:before="0"/>
      </w:pPr>
    </w:p>
    <w:p>
      <w:pPr>
        <w:pStyle w:val="Heading1"/>
        <w:pBdr>
          <w:bottom w:val="single" w:color="1A9E75" w:sz="4" w:space="4"/>
        </w:pBdr>
        <w:spacing w:after="120" w:before="360"/>
      </w:pPr>
      <w:r>
        <w:rPr>
          <w:rFonts w:ascii="Arial" w:cs="Arial" w:eastAsia="Arial" w:hAnsi="Arial"/>
          <w:b/>
          <w:bCs/>
          <w:color w:val="1A9E75"/>
          <w:sz w:val="28"/>
          <w:szCs w:val="28"/>
        </w:rPr>
        <w:t xml:space="preserve">2. Subject Matter and Duration</w:t>
      </w:r>
    </w:p>
    <w:p>
      <w:pPr>
        <w:spacing w:after="80" w:before="80"/>
      </w:pPr>
      <w:r>
        <w:rPr>
          <w:rFonts w:ascii="Arial" w:cs="Arial" w:eastAsia="Arial" w:hAnsi="Arial"/>
          <w:color w:val="333333"/>
          <w:sz w:val="20"/>
          <w:szCs w:val="20"/>
        </w:rPr>
        <w:t xml:space="preserve">2.1  The Processor provides an educational technology platform ("LessonsLearnt") enabling schools to collect student wellbeing data, lesson feedback, and facilitate communication between students, teachers, counsellors, and parents.</w:t>
      </w:r>
    </w:p>
    <w:p>
      <w:pPr>
        <w:spacing w:after="80" w:before="80"/>
      </w:pPr>
      <w:r>
        <w:rPr>
          <w:rFonts w:ascii="Arial" w:cs="Arial" w:eastAsia="Arial" w:hAnsi="Arial"/>
          <w:color w:val="333333"/>
          <w:sz w:val="20"/>
          <w:szCs w:val="20"/>
        </w:rPr>
        <w:t xml:space="preserve">2.2  This DPA governs the processing of personal data by the Processor on behalf of the Controller in connection with the provision of the LessonsLearnt platform and associated services.</w:t>
      </w:r>
    </w:p>
    <w:p>
      <w:pPr>
        <w:spacing w:after="80" w:before="80"/>
      </w:pPr>
      <w:r>
        <w:rPr>
          <w:rFonts w:ascii="Arial" w:cs="Arial" w:eastAsia="Arial" w:hAnsi="Arial"/>
          <w:color w:val="333333"/>
          <w:sz w:val="20"/>
          <w:szCs w:val="20"/>
        </w:rPr>
        <w:t xml:space="preserve">2.3  This DPA commences on the date of acceptance of the LessonsLearnt Terms of Service and remains in force for the duration of the service agreement, including any trial period.</w:t>
      </w:r>
    </w:p>
    <w:p>
      <w:pPr>
        <w:pStyle w:val="Heading1"/>
        <w:pBdr>
          <w:bottom w:val="single" w:color="1A9E75" w:sz="4" w:space="4"/>
        </w:pBdr>
        <w:spacing w:after="120" w:before="360"/>
      </w:pPr>
      <w:r>
        <w:rPr>
          <w:rFonts w:ascii="Arial" w:cs="Arial" w:eastAsia="Arial" w:hAnsi="Arial"/>
          <w:b/>
          <w:bCs/>
          <w:color w:val="1A9E75"/>
          <w:sz w:val="28"/>
          <w:szCs w:val="28"/>
        </w:rPr>
        <w:t xml:space="preserve">3. Nature and Purpose of Processing</w:t>
      </w:r>
    </w:p>
    <w:p>
      <w:pPr>
        <w:spacing w:after="80" w:before="80"/>
      </w:pPr>
      <w:r>
        <w:rPr>
          <w:rFonts w:ascii="Arial" w:cs="Arial" w:eastAsia="Arial" w:hAnsi="Arial"/>
          <w:color w:val="333333"/>
          <w:sz w:val="20"/>
          <w:szCs w:val="20"/>
        </w:rPr>
        <w:t xml:space="preserve">The Processor shall process personal data solely for the following purposes:</w:t>
      </w:r>
    </w:p>
    <w:p>
      <w:pPr>
        <w:pStyle w:val="ListParagraph"/>
        <w:numPr>
          <w:ilvl w:val="0"/>
          <w:numId w:val="2"/>
        </w:numPr>
        <w:spacing w:after="40" w:before="40"/>
      </w:pPr>
      <w:r>
        <w:rPr>
          <w:rFonts w:ascii="Arial" w:cs="Arial" w:eastAsia="Arial" w:hAnsi="Arial"/>
          <w:color w:val="333333"/>
          <w:sz w:val="20"/>
          <w:szCs w:val="20"/>
        </w:rPr>
        <w:t xml:space="preserve">Providing the LessonsLearnt platform functionality to the Controller</w:t>
      </w:r>
    </w:p>
    <w:p>
      <w:pPr>
        <w:pStyle w:val="ListParagraph"/>
        <w:numPr>
          <w:ilvl w:val="0"/>
          <w:numId w:val="2"/>
        </w:numPr>
        <w:spacing w:after="40" w:before="40"/>
      </w:pPr>
      <w:r>
        <w:rPr>
          <w:rFonts w:ascii="Arial" w:cs="Arial" w:eastAsia="Arial" w:hAnsi="Arial"/>
          <w:color w:val="333333"/>
          <w:sz w:val="20"/>
          <w:szCs w:val="20"/>
        </w:rPr>
        <w:t xml:space="preserve">Collecting and displaying student wellbeing check-ins and mood data</w:t>
      </w:r>
    </w:p>
    <w:p>
      <w:pPr>
        <w:pStyle w:val="ListParagraph"/>
        <w:numPr>
          <w:ilvl w:val="0"/>
          <w:numId w:val="2"/>
        </w:numPr>
        <w:spacing w:after="40" w:before="40"/>
      </w:pPr>
      <w:r>
        <w:rPr>
          <w:rFonts w:ascii="Arial" w:cs="Arial" w:eastAsia="Arial" w:hAnsi="Arial"/>
          <w:color w:val="333333"/>
          <w:sz w:val="20"/>
          <w:szCs w:val="20"/>
        </w:rPr>
        <w:t xml:space="preserve">Collecting and processing lesson feedback from students</w:t>
      </w:r>
    </w:p>
    <w:p>
      <w:pPr>
        <w:pStyle w:val="ListParagraph"/>
        <w:numPr>
          <w:ilvl w:val="0"/>
          <w:numId w:val="2"/>
        </w:numPr>
        <w:spacing w:after="40" w:before="40"/>
      </w:pPr>
      <w:r>
        <w:rPr>
          <w:rFonts w:ascii="Arial" w:cs="Arial" w:eastAsia="Arial" w:hAnsi="Arial"/>
          <w:color w:val="333333"/>
          <w:sz w:val="20"/>
          <w:szCs w:val="20"/>
        </w:rPr>
        <w:t xml:space="preserve">Facilitating counsellor appointment booking and wellbeing session management</w:t>
      </w:r>
    </w:p>
    <w:p>
      <w:pPr>
        <w:pStyle w:val="ListParagraph"/>
        <w:numPr>
          <w:ilvl w:val="0"/>
          <w:numId w:val="2"/>
        </w:numPr>
        <w:spacing w:after="40" w:before="40"/>
      </w:pPr>
      <w:r>
        <w:rPr>
          <w:rFonts w:ascii="Arial" w:cs="Arial" w:eastAsia="Arial" w:hAnsi="Arial"/>
          <w:color w:val="333333"/>
          <w:sz w:val="20"/>
          <w:szCs w:val="20"/>
        </w:rPr>
        <w:t xml:space="preserve">Enabling teacher-to-student and school-to-parent communication</w:t>
      </w:r>
    </w:p>
    <w:p>
      <w:pPr>
        <w:pStyle w:val="ListParagraph"/>
        <w:numPr>
          <w:ilvl w:val="0"/>
          <w:numId w:val="2"/>
        </w:numPr>
        <w:spacing w:after="40" w:before="40"/>
      </w:pPr>
      <w:r>
        <w:rPr>
          <w:rFonts w:ascii="Arial" w:cs="Arial" w:eastAsia="Arial" w:hAnsi="Arial"/>
          <w:color w:val="333333"/>
          <w:sz w:val="20"/>
          <w:szCs w:val="20"/>
        </w:rPr>
        <w:t xml:space="preserve">Generating anonymised wellbeing analytics and school improvement reports</w:t>
      </w:r>
    </w:p>
    <w:p>
      <w:pPr>
        <w:pStyle w:val="ListParagraph"/>
        <w:numPr>
          <w:ilvl w:val="0"/>
          <w:numId w:val="2"/>
        </w:numPr>
        <w:spacing w:after="40" w:before="40"/>
      </w:pPr>
      <w:r>
        <w:rPr>
          <w:rFonts w:ascii="Arial" w:cs="Arial" w:eastAsia="Arial" w:hAnsi="Arial"/>
          <w:color w:val="333333"/>
          <w:sz w:val="20"/>
          <w:szCs w:val="20"/>
        </w:rPr>
        <w:t xml:space="preserve">Providing technical support and platform maintenance</w:t>
      </w:r>
    </w:p>
    <w:p>
      <w:pPr>
        <w:spacing w:after="80" w:before="80"/>
      </w:pPr>
      <w:r>
        <w:rPr>
          <w:rFonts w:ascii="Arial" w:cs="Arial" w:eastAsia="Arial" w:hAnsi="Arial"/>
          <w:color w:val="333333"/>
          <w:sz w:val="20"/>
          <w:szCs w:val="20"/>
        </w:rPr>
        <w:t xml:space="preserve">The Processor shall not process personal data for any other purpose, including for its own commercial interests, advertising, or to train artificial intelligence models.</w:t>
      </w:r>
    </w:p>
    <w:p>
      <w:pPr>
        <w:pStyle w:val="Heading1"/>
        <w:pBdr>
          <w:bottom w:val="single" w:color="1A9E75" w:sz="4" w:space="4"/>
        </w:pBdr>
        <w:spacing w:after="120" w:before="360"/>
      </w:pPr>
      <w:r>
        <w:rPr>
          <w:rFonts w:ascii="Arial" w:cs="Arial" w:eastAsia="Arial" w:hAnsi="Arial"/>
          <w:b/>
          <w:bCs/>
          <w:color w:val="1A9E75"/>
          <w:sz w:val="28"/>
          <w:szCs w:val="28"/>
        </w:rPr>
        <w:t xml:space="preserve">4. Categories of Data Subjects and Personal Data</w:t>
      </w:r>
    </w:p>
    <w:p>
      <w:pPr>
        <w:pStyle w:val="Heading2"/>
        <w:spacing w:after="80" w:before="240"/>
      </w:pPr>
      <w:r>
        <w:rPr>
          <w:rFonts w:ascii="Arial" w:cs="Arial" w:eastAsia="Arial" w:hAnsi="Arial"/>
          <w:b/>
          <w:bCs/>
          <w:color w:val="333333"/>
          <w:sz w:val="24"/>
          <w:szCs w:val="24"/>
        </w:rPr>
        <w:t xml:space="preserve">4.1  Data Subjects</w:t>
      </w:r>
    </w:p>
    <w:p>
      <w:pPr>
        <w:pStyle w:val="ListParagraph"/>
        <w:numPr>
          <w:ilvl w:val="0"/>
          <w:numId w:val="2"/>
        </w:numPr>
        <w:spacing w:after="40" w:before="40"/>
      </w:pPr>
      <w:r>
        <w:rPr>
          <w:rFonts w:ascii="Arial" w:cs="Arial" w:eastAsia="Arial" w:hAnsi="Arial"/>
          <w:color w:val="333333"/>
          <w:sz w:val="20"/>
          <w:szCs w:val="20"/>
        </w:rPr>
        <w:t xml:space="preserve">Students enrolled at the Controller's school</w:t>
      </w:r>
    </w:p>
    <w:p>
      <w:pPr>
        <w:pStyle w:val="ListParagraph"/>
        <w:numPr>
          <w:ilvl w:val="0"/>
          <w:numId w:val="2"/>
        </w:numPr>
        <w:spacing w:after="40" w:before="40"/>
      </w:pPr>
      <w:r>
        <w:rPr>
          <w:rFonts w:ascii="Arial" w:cs="Arial" w:eastAsia="Arial" w:hAnsi="Arial"/>
          <w:color w:val="333333"/>
          <w:sz w:val="20"/>
          <w:szCs w:val="20"/>
        </w:rPr>
        <w:t xml:space="preserve">Teachers and school staff employed by the Controller</w:t>
      </w:r>
    </w:p>
    <w:p>
      <w:pPr>
        <w:pStyle w:val="ListParagraph"/>
        <w:numPr>
          <w:ilvl w:val="0"/>
          <w:numId w:val="2"/>
        </w:numPr>
        <w:spacing w:after="40" w:before="40"/>
      </w:pPr>
      <w:r>
        <w:rPr>
          <w:rFonts w:ascii="Arial" w:cs="Arial" w:eastAsia="Arial" w:hAnsi="Arial"/>
          <w:color w:val="333333"/>
          <w:sz w:val="20"/>
          <w:szCs w:val="20"/>
        </w:rPr>
        <w:t xml:space="preserve">School counsellors and mental health professionals</w:t>
      </w:r>
    </w:p>
    <w:p>
      <w:pPr>
        <w:pStyle w:val="ListParagraph"/>
        <w:numPr>
          <w:ilvl w:val="0"/>
          <w:numId w:val="2"/>
        </w:numPr>
        <w:spacing w:after="40" w:before="40"/>
      </w:pPr>
      <w:r>
        <w:rPr>
          <w:rFonts w:ascii="Arial" w:cs="Arial" w:eastAsia="Arial" w:hAnsi="Arial"/>
          <w:color w:val="333333"/>
          <w:sz w:val="20"/>
          <w:szCs w:val="20"/>
        </w:rPr>
        <w:t xml:space="preserve">School administrators and leaders</w:t>
      </w:r>
    </w:p>
    <w:p>
      <w:pPr>
        <w:pStyle w:val="ListParagraph"/>
        <w:numPr>
          <w:ilvl w:val="0"/>
          <w:numId w:val="2"/>
        </w:numPr>
        <w:spacing w:after="40" w:before="40"/>
      </w:pPr>
      <w:r>
        <w:rPr>
          <w:rFonts w:ascii="Arial" w:cs="Arial" w:eastAsia="Arial" w:hAnsi="Arial"/>
          <w:color w:val="333333"/>
          <w:sz w:val="20"/>
          <w:szCs w:val="20"/>
        </w:rPr>
        <w:t xml:space="preserve">Parents and guardians who have opted into the platform</w:t>
      </w:r>
    </w:p>
    <w:p>
      <w:pPr>
        <w:pStyle w:val="Heading2"/>
        <w:spacing w:after="80" w:before="240"/>
      </w:pPr>
      <w:r>
        <w:rPr>
          <w:rFonts w:ascii="Arial" w:cs="Arial" w:eastAsia="Arial" w:hAnsi="Arial"/>
          <w:b/>
          <w:bCs/>
          <w:color w:val="333333"/>
          <w:sz w:val="24"/>
          <w:szCs w:val="24"/>
        </w:rPr>
        <w:t xml:space="preserve">4.2  Categories of Personal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Data Subject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Categories of Personal Data</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Students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class, daily mood check-ins, lesson feedback (anonymous), wellbeing journal entries (private), goal tracking data, counsellor appointment records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Teachers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Name, email address, subject taught, lesson effectiveness data, professional development records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Counsellors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email address, appointment schedules, intervention logs, clinical session notes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School Leaders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Name, email address, access logs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Parents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Name, email address, communication records, child progress data (where opted in)</w:t>
            </w:r>
          </w:p>
        </w:tc>
      </w:tr>
    </w:tbl>
    <w:p>
      <w:pPr>
        <w:spacing w:after="0" w:before="0"/>
      </w:pPr>
    </w:p>
    <w:p>
      <w:pPr>
        <w:pStyle w:val="Heading2"/>
        <w:spacing w:after="80" w:before="240"/>
      </w:pPr>
      <w:r>
        <w:rPr>
          <w:rFonts w:ascii="Arial" w:cs="Arial" w:eastAsia="Arial" w:hAnsi="Arial"/>
          <w:b/>
          <w:bCs/>
          <w:color w:val="333333"/>
          <w:sz w:val="24"/>
          <w:szCs w:val="24"/>
        </w:rPr>
        <w:t xml:space="preserve">4.3  Special Categories of Data</w:t>
      </w:r>
    </w:p>
    <w:p>
      <w:pPr>
        <w:spacing w:after="80" w:before="80"/>
      </w:pPr>
      <w:r>
        <w:rPr>
          <w:rFonts w:ascii="Arial" w:cs="Arial" w:eastAsia="Arial" w:hAnsi="Arial"/>
          <w:color w:val="333333"/>
          <w:sz w:val="20"/>
          <w:szCs w:val="20"/>
        </w:rPr>
        <w:t xml:space="preserve">Student wellbeing and mood data may constitute data concerning health under Article 9 GDPR. The Controller is responsible for establishing the appropriate legal basis for processing such data (typically explicit consent of the student or parent/guardian, or a task carried out in the public interest). The Processor implements enhanced technical and organisational measures for this category of data, including encryption at rest and in transit, strict access controls, and anonymisation where possible.</w:t>
      </w:r>
    </w:p>
    <w:p>
      <w:pPr>
        <w:pStyle w:val="Heading1"/>
        <w:pBdr>
          <w:bottom w:val="single" w:color="1A9E75" w:sz="4" w:space="4"/>
        </w:pBdr>
        <w:spacing w:after="120" w:before="360"/>
      </w:pPr>
      <w:r>
        <w:rPr>
          <w:rFonts w:ascii="Arial" w:cs="Arial" w:eastAsia="Arial" w:hAnsi="Arial"/>
          <w:b/>
          <w:bCs/>
          <w:color w:val="1A9E75"/>
          <w:sz w:val="28"/>
          <w:szCs w:val="28"/>
        </w:rPr>
        <w:t xml:space="preserve">5. Obligations of the Processor</w:t>
      </w:r>
    </w:p>
    <w:p>
      <w:pPr>
        <w:spacing w:after="80" w:before="80"/>
      </w:pPr>
      <w:r>
        <w:rPr>
          <w:rFonts w:ascii="Arial" w:cs="Arial" w:eastAsia="Arial" w:hAnsi="Arial"/>
          <w:color w:val="333333"/>
          <w:sz w:val="20"/>
          <w:szCs w:val="20"/>
        </w:rPr>
        <w:t xml:space="preserve">The Processor agrees to:</w:t>
      </w:r>
    </w:p>
    <w:p>
      <w:pPr>
        <w:pStyle w:val="ListParagraph"/>
        <w:numPr>
          <w:ilvl w:val="0"/>
          <w:numId w:val="2"/>
        </w:numPr>
        <w:spacing w:after="40" w:before="40"/>
      </w:pPr>
      <w:r>
        <w:rPr>
          <w:rFonts w:ascii="Arial" w:cs="Arial" w:eastAsia="Arial" w:hAnsi="Arial"/>
          <w:color w:val="333333"/>
          <w:sz w:val="20"/>
          <w:szCs w:val="20"/>
        </w:rPr>
        <w:t xml:space="preserve">Process personal data only on documented instructions from the Controller, including with regard to transfers of personal data to a third country, unless required to do so by Union or Member State law</w:t>
      </w:r>
    </w:p>
    <w:p>
      <w:pPr>
        <w:pStyle w:val="ListParagraph"/>
        <w:numPr>
          <w:ilvl w:val="0"/>
          <w:numId w:val="2"/>
        </w:numPr>
        <w:spacing w:after="40" w:before="40"/>
      </w:pPr>
      <w:r>
        <w:rPr>
          <w:rFonts w:ascii="Arial" w:cs="Arial" w:eastAsia="Arial" w:hAnsi="Arial"/>
          <w:color w:val="333333"/>
          <w:sz w:val="20"/>
          <w:szCs w:val="20"/>
        </w:rPr>
        <w:t xml:space="preserve">Ensure that persons authorised to process the personal data have committed themselves to confidentiality or are under an appropriate statutory obligation of confidentiality</w:t>
      </w:r>
    </w:p>
    <w:p>
      <w:pPr>
        <w:pStyle w:val="ListParagraph"/>
        <w:numPr>
          <w:ilvl w:val="0"/>
          <w:numId w:val="2"/>
        </w:numPr>
        <w:spacing w:after="40" w:before="40"/>
      </w:pPr>
      <w:r>
        <w:rPr>
          <w:rFonts w:ascii="Arial" w:cs="Arial" w:eastAsia="Arial" w:hAnsi="Arial"/>
          <w:color w:val="333333"/>
          <w:sz w:val="20"/>
          <w:szCs w:val="20"/>
        </w:rPr>
        <w:t xml:space="preserve">Implement appropriate technical and organisational measures to ensure a level of security appropriate to the risk, in accordance with Article 32 GDPR</w:t>
      </w:r>
    </w:p>
    <w:p>
      <w:pPr>
        <w:pStyle w:val="ListParagraph"/>
        <w:numPr>
          <w:ilvl w:val="0"/>
          <w:numId w:val="2"/>
        </w:numPr>
        <w:spacing w:after="40" w:before="40"/>
      </w:pPr>
      <w:r>
        <w:rPr>
          <w:rFonts w:ascii="Arial" w:cs="Arial" w:eastAsia="Arial" w:hAnsi="Arial"/>
          <w:color w:val="333333"/>
          <w:sz w:val="20"/>
          <w:szCs w:val="20"/>
        </w:rPr>
        <w:t xml:space="preserve">Respect the conditions referred to in paragraphs 2 and 4 of Article 28 GDPR for engaging sub-processors</w:t>
      </w:r>
    </w:p>
    <w:p>
      <w:pPr>
        <w:pStyle w:val="ListParagraph"/>
        <w:numPr>
          <w:ilvl w:val="0"/>
          <w:numId w:val="2"/>
        </w:numPr>
        <w:spacing w:after="40" w:before="40"/>
      </w:pPr>
      <w:r>
        <w:rPr>
          <w:rFonts w:ascii="Arial" w:cs="Arial" w:eastAsia="Arial" w:hAnsi="Arial"/>
          <w:color w:val="333333"/>
          <w:sz w:val="20"/>
          <w:szCs w:val="20"/>
        </w:rPr>
        <w:t xml:space="preserve">Assist the Controller in ensuring compliance with obligations pursuant to Articles 32 to 36 GDPR, taking into account the nature of processing and the information available to the Processor</w:t>
      </w:r>
    </w:p>
    <w:p>
      <w:pPr>
        <w:pStyle w:val="ListParagraph"/>
        <w:numPr>
          <w:ilvl w:val="0"/>
          <w:numId w:val="2"/>
        </w:numPr>
        <w:spacing w:after="40" w:before="40"/>
      </w:pPr>
      <w:r>
        <w:rPr>
          <w:rFonts w:ascii="Arial" w:cs="Arial" w:eastAsia="Arial" w:hAnsi="Arial"/>
          <w:color w:val="333333"/>
          <w:sz w:val="20"/>
          <w:szCs w:val="20"/>
        </w:rPr>
        <w:t xml:space="preserve">At the choice of the Controller, delete or return all personal data to the Controller after the end of the provision of services relating to processing, and delete existing copies unless Union or Member State law requires storage of the personal data</w:t>
      </w:r>
    </w:p>
    <w:p>
      <w:pPr>
        <w:pStyle w:val="ListParagraph"/>
        <w:numPr>
          <w:ilvl w:val="0"/>
          <w:numId w:val="2"/>
        </w:numPr>
        <w:spacing w:after="40" w:before="40"/>
      </w:pPr>
      <w:r>
        <w:rPr>
          <w:rFonts w:ascii="Arial" w:cs="Arial" w:eastAsia="Arial" w:hAnsi="Arial"/>
          <w:color w:val="333333"/>
          <w:sz w:val="20"/>
          <w:szCs w:val="20"/>
        </w:rPr>
        <w:t xml:space="preserve">Make available to the Controller all information necessary to demonstrate compliance with the obligations laid down in Article 28 GDPR and allow for and contribute to audits, including inspections, conducted by the Controller or another auditor mandated by the Controller</w:t>
      </w:r>
    </w:p>
    <w:p>
      <w:pPr>
        <w:pStyle w:val="Heading1"/>
        <w:pBdr>
          <w:bottom w:val="single" w:color="1A9E75" w:sz="4" w:space="4"/>
        </w:pBdr>
        <w:spacing w:after="120" w:before="360"/>
      </w:pPr>
      <w:r>
        <w:rPr>
          <w:rFonts w:ascii="Arial" w:cs="Arial" w:eastAsia="Arial" w:hAnsi="Arial"/>
          <w:b/>
          <w:bCs/>
          <w:color w:val="1A9E75"/>
          <w:sz w:val="28"/>
          <w:szCs w:val="28"/>
        </w:rPr>
        <w:t xml:space="preserve">6. Technical and Organisational Security Measures</w:t>
      </w:r>
    </w:p>
    <w:p>
      <w:pPr>
        <w:spacing w:after="80" w:before="80"/>
      </w:pPr>
      <w:r>
        <w:rPr>
          <w:rFonts w:ascii="Arial" w:cs="Arial" w:eastAsia="Arial" w:hAnsi="Arial"/>
          <w:color w:val="333333"/>
          <w:sz w:val="20"/>
          <w:szCs w:val="20"/>
        </w:rPr>
        <w:t xml:space="preserve">The Processor maintains the following security measures:</w:t>
      </w:r>
    </w:p>
    <w:p>
      <w:pPr>
        <w:pStyle w:val="Heading2"/>
        <w:spacing w:after="80" w:before="240"/>
      </w:pPr>
      <w:r>
        <w:rPr>
          <w:rFonts w:ascii="Arial" w:cs="Arial" w:eastAsia="Arial" w:hAnsi="Arial"/>
          <w:b/>
          <w:bCs/>
          <w:color w:val="333333"/>
          <w:sz w:val="24"/>
          <w:szCs w:val="24"/>
        </w:rPr>
        <w:t xml:space="preserve">6.1  Infrastructure Security</w:t>
      </w:r>
    </w:p>
    <w:p>
      <w:pPr>
        <w:pStyle w:val="ListParagraph"/>
        <w:numPr>
          <w:ilvl w:val="0"/>
          <w:numId w:val="2"/>
        </w:numPr>
        <w:spacing w:after="40" w:before="40"/>
      </w:pPr>
      <w:r>
        <w:rPr>
          <w:rFonts w:ascii="Arial" w:cs="Arial" w:eastAsia="Arial" w:hAnsi="Arial"/>
          <w:color w:val="333333"/>
          <w:sz w:val="20"/>
          <w:szCs w:val="20"/>
        </w:rPr>
        <w:t xml:space="preserve">All data is stored exclusively on servers located within the European Union (Supabase, Frankfurt, Germany)</w:t>
      </w:r>
    </w:p>
    <w:p>
      <w:pPr>
        <w:pStyle w:val="ListParagraph"/>
        <w:numPr>
          <w:ilvl w:val="0"/>
          <w:numId w:val="2"/>
        </w:numPr>
        <w:spacing w:after="40" w:before="40"/>
      </w:pPr>
      <w:r>
        <w:rPr>
          <w:rFonts w:ascii="Arial" w:cs="Arial" w:eastAsia="Arial" w:hAnsi="Arial"/>
          <w:color w:val="333333"/>
          <w:sz w:val="20"/>
          <w:szCs w:val="20"/>
        </w:rPr>
        <w:t xml:space="preserve">Data is encrypted at rest using AES-256 encryption</w:t>
      </w:r>
    </w:p>
    <w:p>
      <w:pPr>
        <w:pStyle w:val="ListParagraph"/>
        <w:numPr>
          <w:ilvl w:val="0"/>
          <w:numId w:val="2"/>
        </w:numPr>
        <w:spacing w:after="40" w:before="40"/>
      </w:pPr>
      <w:r>
        <w:rPr>
          <w:rFonts w:ascii="Arial" w:cs="Arial" w:eastAsia="Arial" w:hAnsi="Arial"/>
          <w:color w:val="333333"/>
          <w:sz w:val="20"/>
          <w:szCs w:val="20"/>
        </w:rPr>
        <w:t xml:space="preserve">All data in transit is encrypted using TLS 1.2 or higher</w:t>
      </w:r>
    </w:p>
    <w:p>
      <w:pPr>
        <w:pStyle w:val="ListParagraph"/>
        <w:numPr>
          <w:ilvl w:val="0"/>
          <w:numId w:val="2"/>
        </w:numPr>
        <w:spacing w:after="40" w:before="40"/>
      </w:pPr>
      <w:r>
        <w:rPr>
          <w:rFonts w:ascii="Arial" w:cs="Arial" w:eastAsia="Arial" w:hAnsi="Arial"/>
          <w:color w:val="333333"/>
          <w:sz w:val="20"/>
          <w:szCs w:val="20"/>
        </w:rPr>
        <w:t xml:space="preserve">Database access is restricted to authorised personnel only via role-based access controls</w:t>
      </w:r>
    </w:p>
    <w:p>
      <w:pPr>
        <w:pStyle w:val="ListParagraph"/>
        <w:numPr>
          <w:ilvl w:val="0"/>
          <w:numId w:val="2"/>
        </w:numPr>
        <w:spacing w:after="40" w:before="40"/>
      </w:pPr>
      <w:r>
        <w:rPr>
          <w:rFonts w:ascii="Arial" w:cs="Arial" w:eastAsia="Arial" w:hAnsi="Arial"/>
          <w:color w:val="333333"/>
          <w:sz w:val="20"/>
          <w:szCs w:val="20"/>
        </w:rPr>
        <w:t xml:space="preserve">Regular automated backups with point-in-time recovery capability</w:t>
      </w:r>
    </w:p>
    <w:p>
      <w:pPr>
        <w:pStyle w:val="Heading2"/>
        <w:spacing w:after="80" w:before="240"/>
      </w:pPr>
      <w:r>
        <w:rPr>
          <w:rFonts w:ascii="Arial" w:cs="Arial" w:eastAsia="Arial" w:hAnsi="Arial"/>
          <w:b/>
          <w:bCs/>
          <w:color w:val="333333"/>
          <w:sz w:val="24"/>
          <w:szCs w:val="24"/>
        </w:rPr>
        <w:t xml:space="preserve">6.2  Application Security</w:t>
      </w:r>
    </w:p>
    <w:p>
      <w:pPr>
        <w:pStyle w:val="ListParagraph"/>
        <w:numPr>
          <w:ilvl w:val="0"/>
          <w:numId w:val="2"/>
        </w:numPr>
        <w:spacing w:after="40" w:before="40"/>
      </w:pPr>
      <w:r>
        <w:rPr>
          <w:rFonts w:ascii="Arial" w:cs="Arial" w:eastAsia="Arial" w:hAnsi="Arial"/>
          <w:color w:val="333333"/>
          <w:sz w:val="20"/>
          <w:szCs w:val="20"/>
        </w:rPr>
        <w:t xml:space="preserve">Multi-tenant architecture with strict data isolation between schools</w:t>
      </w:r>
    </w:p>
    <w:p>
      <w:pPr>
        <w:pStyle w:val="ListParagraph"/>
        <w:numPr>
          <w:ilvl w:val="0"/>
          <w:numId w:val="2"/>
        </w:numPr>
        <w:spacing w:after="40" w:before="40"/>
      </w:pPr>
      <w:r>
        <w:rPr>
          <w:rFonts w:ascii="Arial" w:cs="Arial" w:eastAsia="Arial" w:hAnsi="Arial"/>
          <w:color w:val="333333"/>
          <w:sz w:val="20"/>
          <w:szCs w:val="20"/>
        </w:rPr>
        <w:t xml:space="preserve">Row-level security (RLS) policies preventing cross-school data access</w:t>
      </w:r>
    </w:p>
    <w:p>
      <w:pPr>
        <w:pStyle w:val="ListParagraph"/>
        <w:numPr>
          <w:ilvl w:val="0"/>
          <w:numId w:val="2"/>
        </w:numPr>
        <w:spacing w:after="40" w:before="40"/>
      </w:pPr>
      <w:r>
        <w:rPr>
          <w:rFonts w:ascii="Arial" w:cs="Arial" w:eastAsia="Arial" w:hAnsi="Arial"/>
          <w:color w:val="333333"/>
          <w:sz w:val="20"/>
          <w:szCs w:val="20"/>
        </w:rPr>
        <w:t xml:space="preserve">Student wellbeing journal entries are encrypted and accessible only to the individual student</w:t>
      </w:r>
    </w:p>
    <w:p>
      <w:pPr>
        <w:pStyle w:val="ListParagraph"/>
        <w:numPr>
          <w:ilvl w:val="0"/>
          <w:numId w:val="2"/>
        </w:numPr>
        <w:spacing w:after="40" w:before="40"/>
      </w:pPr>
      <w:r>
        <w:rPr>
          <w:rFonts w:ascii="Arial" w:cs="Arial" w:eastAsia="Arial" w:hAnsi="Arial"/>
          <w:color w:val="333333"/>
          <w:sz w:val="20"/>
          <w:szCs w:val="20"/>
        </w:rPr>
        <w:t xml:space="preserve">Anonymous student feedback is technically de-linked from individual student identities</w:t>
      </w:r>
    </w:p>
    <w:p>
      <w:pPr>
        <w:pStyle w:val="ListParagraph"/>
        <w:numPr>
          <w:ilvl w:val="0"/>
          <w:numId w:val="2"/>
        </w:numPr>
        <w:spacing w:after="40" w:before="40"/>
      </w:pPr>
      <w:r>
        <w:rPr>
          <w:rFonts w:ascii="Arial" w:cs="Arial" w:eastAsia="Arial" w:hAnsi="Arial"/>
          <w:color w:val="333333"/>
          <w:sz w:val="20"/>
          <w:szCs w:val="20"/>
        </w:rPr>
        <w:t xml:space="preserve">All user sessions are authenticated and time-limited</w:t>
      </w:r>
    </w:p>
    <w:p>
      <w:pPr>
        <w:pStyle w:val="Heading2"/>
        <w:spacing w:after="80" w:before="240"/>
      </w:pPr>
      <w:r>
        <w:rPr>
          <w:rFonts w:ascii="Arial" w:cs="Arial" w:eastAsia="Arial" w:hAnsi="Arial"/>
          <w:b/>
          <w:bCs/>
          <w:color w:val="333333"/>
          <w:sz w:val="24"/>
          <w:szCs w:val="24"/>
        </w:rPr>
        <w:t xml:space="preserve">6.3  Organisational Measures</w:t>
      </w:r>
    </w:p>
    <w:p>
      <w:pPr>
        <w:pStyle w:val="ListParagraph"/>
        <w:numPr>
          <w:ilvl w:val="0"/>
          <w:numId w:val="2"/>
        </w:numPr>
        <w:spacing w:after="40" w:before="40"/>
      </w:pPr>
      <w:r>
        <w:rPr>
          <w:rFonts w:ascii="Arial" w:cs="Arial" w:eastAsia="Arial" w:hAnsi="Arial"/>
          <w:color w:val="333333"/>
          <w:sz w:val="20"/>
          <w:szCs w:val="20"/>
        </w:rPr>
        <w:t xml:space="preserve">Access to personal data is limited to personnel with a strict need-to-know</w:t>
      </w:r>
    </w:p>
    <w:p>
      <w:pPr>
        <w:pStyle w:val="ListParagraph"/>
        <w:numPr>
          <w:ilvl w:val="0"/>
          <w:numId w:val="2"/>
        </w:numPr>
        <w:spacing w:after="40" w:before="40"/>
      </w:pPr>
      <w:r>
        <w:rPr>
          <w:rFonts w:ascii="Arial" w:cs="Arial" w:eastAsia="Arial" w:hAnsi="Arial"/>
          <w:color w:val="333333"/>
          <w:sz w:val="20"/>
          <w:szCs w:val="20"/>
        </w:rPr>
        <w:t xml:space="preserve">Regular security review of access controls and permissions</w:t>
      </w:r>
    </w:p>
    <w:p>
      <w:pPr>
        <w:pStyle w:val="ListParagraph"/>
        <w:numPr>
          <w:ilvl w:val="0"/>
          <w:numId w:val="2"/>
        </w:numPr>
        <w:spacing w:after="40" w:before="40"/>
      </w:pPr>
      <w:r>
        <w:rPr>
          <w:rFonts w:ascii="Arial" w:cs="Arial" w:eastAsia="Arial" w:hAnsi="Arial"/>
          <w:color w:val="333333"/>
          <w:sz w:val="20"/>
          <w:szCs w:val="20"/>
        </w:rPr>
        <w:t xml:space="preserve">Incident response procedure for personal data breaches</w:t>
      </w:r>
    </w:p>
    <w:p>
      <w:pPr>
        <w:pStyle w:val="ListParagraph"/>
        <w:numPr>
          <w:ilvl w:val="0"/>
          <w:numId w:val="2"/>
        </w:numPr>
        <w:spacing w:after="40" w:before="40"/>
      </w:pPr>
      <w:r>
        <w:rPr>
          <w:rFonts w:ascii="Arial" w:cs="Arial" w:eastAsia="Arial" w:hAnsi="Arial"/>
          <w:color w:val="333333"/>
          <w:sz w:val="20"/>
          <w:szCs w:val="20"/>
        </w:rPr>
        <w:t xml:space="preserve">The platform is aligned with NIS2 Directive requirements and ISO 42001:2023 (AI governance)</w:t>
      </w:r>
    </w:p>
    <w:p>
      <w:pPr>
        <w:pStyle w:val="Heading1"/>
        <w:pBdr>
          <w:bottom w:val="single" w:color="1A9E75" w:sz="4" w:space="4"/>
        </w:pBdr>
        <w:spacing w:after="120" w:before="360"/>
      </w:pPr>
      <w:r>
        <w:rPr>
          <w:rFonts w:ascii="Arial" w:cs="Arial" w:eastAsia="Arial" w:hAnsi="Arial"/>
          <w:b/>
          <w:bCs/>
          <w:color w:val="1A9E75"/>
          <w:sz w:val="28"/>
          <w:szCs w:val="28"/>
        </w:rPr>
        <w:t xml:space="preserve">7. Sub-processors</w:t>
      </w:r>
    </w:p>
    <w:p>
      <w:pPr>
        <w:spacing w:after="80" w:before="80"/>
      </w:pPr>
      <w:r>
        <w:rPr>
          <w:rFonts w:ascii="Arial" w:cs="Arial" w:eastAsia="Arial" w:hAnsi="Arial"/>
          <w:color w:val="333333"/>
          <w:sz w:val="20"/>
          <w:szCs w:val="20"/>
        </w:rPr>
        <w:t xml:space="preserve">7.1  The Controller grants the Processor general written authorisation to engage sub-processors. The Processor shall inform the Controller of any intended changes concerning the addition or replacement of sub-processors, giving the Controller the opportunity to object to such changes.</w:t>
      </w:r>
    </w:p>
    <w:p>
      <w:pPr>
        <w:spacing w:after="80" w:before="80"/>
      </w:pPr>
      <w:r>
        <w:rPr>
          <w:rFonts w:ascii="Arial" w:cs="Arial" w:eastAsia="Arial" w:hAnsi="Arial"/>
          <w:color w:val="333333"/>
          <w:sz w:val="20"/>
          <w:szCs w:val="20"/>
        </w:rPr>
        <w:t xml:space="preserve">7.2  Current sub-processors: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3360"/>
      </w:tblGrid>
      <w:tr>
        <w:tc>
          <w:tcPr>
            <w:tcW w:type="dxa" w:w="250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Sub-processor</w:t>
            </w:r>
          </w:p>
        </w:tc>
        <w:tc>
          <w:tcPr>
            <w:tcW w:type="dxa" w:w="350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36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Location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Supabase Inc.</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Database hosting and backend infrastructure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Frankfurt, Germany (EU)</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Anthropic PBC</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AI-assisted content generation (anonymised data only)</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United States (SCCs in place)</w:t>
            </w:r>
          </w:p>
        </w:tc>
      </w:tr>
    </w:tbl>
    <w:p>
      <w:pPr>
        <w:spacing w:after="0" w:before="0"/>
      </w:pPr>
    </w:p>
    <w:p>
      <w:pPr>
        <w:spacing w:after="80" w:before="80"/>
      </w:pPr>
      <w:r>
        <w:rPr>
          <w:rFonts w:ascii="Arial" w:cs="Arial" w:eastAsia="Arial" w:hAnsi="Arial"/>
          <w:color w:val="333333"/>
          <w:sz w:val="20"/>
          <w:szCs w:val="20"/>
        </w:rPr>
        <w:t xml:space="preserve">7.3  No personal data identifying individual students, teachers, or staff is transmitted to Anthropic. Only anonymised, aggregated platform content is processed by AI services.</w:t>
      </w:r>
    </w:p>
    <w:p>
      <w:pPr>
        <w:pStyle w:val="Heading1"/>
        <w:pBdr>
          <w:bottom w:val="single" w:color="1A9E75" w:sz="4" w:space="4"/>
        </w:pBdr>
        <w:spacing w:after="120" w:before="360"/>
      </w:pPr>
      <w:r>
        <w:rPr>
          <w:rFonts w:ascii="Arial" w:cs="Arial" w:eastAsia="Arial" w:hAnsi="Arial"/>
          <w:b/>
          <w:bCs/>
          <w:color w:val="1A9E75"/>
          <w:sz w:val="28"/>
          <w:szCs w:val="28"/>
        </w:rPr>
        <w:t xml:space="preserve">8. International Data Transfers</w:t>
      </w:r>
    </w:p>
    <w:p>
      <w:pPr>
        <w:spacing w:after="80" w:before="80"/>
      </w:pPr>
      <w:r>
        <w:rPr>
          <w:rFonts w:ascii="Arial" w:cs="Arial" w:eastAsia="Arial" w:hAnsi="Arial"/>
          <w:color w:val="333333"/>
          <w:sz w:val="20"/>
          <w:szCs w:val="20"/>
        </w:rPr>
        <w:t xml:space="preserve">8.1  All personal data is stored and processed within the European Economic Area (EEA), primarily on Supabase infrastructure in Frankfurt, Germany.</w:t>
      </w:r>
    </w:p>
    <w:p>
      <w:pPr>
        <w:spacing w:after="80" w:before="80"/>
      </w:pPr>
      <w:r>
        <w:rPr>
          <w:rFonts w:ascii="Arial" w:cs="Arial" w:eastAsia="Arial" w:hAnsi="Arial"/>
          <w:color w:val="333333"/>
          <w:sz w:val="20"/>
          <w:szCs w:val="20"/>
        </w:rPr>
        <w:t xml:space="preserve">8.2  Where any processing involves transfer of data outside the EEA (for example, through Anthropic's AI services), the Processor ensures that appropriate safeguards are in place in accordance with Chapter V of the GDPR, including Standard Contractual Clauses (SCCs) as adopted by the European Commission.</w:t>
      </w:r>
    </w:p>
    <w:p>
      <w:pPr>
        <w:spacing w:after="80" w:before="80"/>
      </w:pPr>
      <w:r>
        <w:rPr>
          <w:rFonts w:ascii="Arial" w:cs="Arial" w:eastAsia="Arial" w:hAnsi="Arial"/>
          <w:color w:val="333333"/>
          <w:sz w:val="20"/>
          <w:szCs w:val="20"/>
        </w:rPr>
        <w:t xml:space="preserve">8.3  No personal data identifying individual data subjects is transferred outside the EEA without appropriate safeguards.</w:t>
      </w:r>
    </w:p>
    <w:p>
      <w:pPr>
        <w:pStyle w:val="Heading1"/>
        <w:pBdr>
          <w:bottom w:val="single" w:color="1A9E75" w:sz="4" w:space="4"/>
        </w:pBdr>
        <w:spacing w:after="120" w:before="360"/>
      </w:pPr>
      <w:r>
        <w:rPr>
          <w:rFonts w:ascii="Arial" w:cs="Arial" w:eastAsia="Arial" w:hAnsi="Arial"/>
          <w:b/>
          <w:bCs/>
          <w:color w:val="1A9E75"/>
          <w:sz w:val="28"/>
          <w:szCs w:val="28"/>
        </w:rPr>
        <w:t xml:space="preserve">9. Data Subject Rights</w:t>
      </w:r>
    </w:p>
    <w:p>
      <w:pPr>
        <w:spacing w:after="80" w:before="80"/>
      </w:pPr>
      <w:r>
        <w:rPr>
          <w:rFonts w:ascii="Arial" w:cs="Arial" w:eastAsia="Arial" w:hAnsi="Arial"/>
          <w:color w:val="333333"/>
          <w:sz w:val="20"/>
          <w:szCs w:val="20"/>
        </w:rPr>
        <w:t xml:space="preserve">The Processor shall assist the Controller in fulfilling its obligations to respond to requests for exercising data subjects' rights under Chapter III of the GDPR, including:</w:t>
      </w:r>
    </w:p>
    <w:p>
      <w:pPr>
        <w:pStyle w:val="ListParagraph"/>
        <w:numPr>
          <w:ilvl w:val="0"/>
          <w:numId w:val="2"/>
        </w:numPr>
        <w:spacing w:after="40" w:before="40"/>
      </w:pPr>
      <w:r>
        <w:rPr>
          <w:rFonts w:ascii="Arial" w:cs="Arial" w:eastAsia="Arial" w:hAnsi="Arial"/>
          <w:color w:val="333333"/>
          <w:sz w:val="20"/>
          <w:szCs w:val="20"/>
        </w:rPr>
        <w:t xml:space="preserve">Right of access (Article 15 GDPR)</w:t>
      </w:r>
    </w:p>
    <w:p>
      <w:pPr>
        <w:pStyle w:val="ListParagraph"/>
        <w:numPr>
          <w:ilvl w:val="0"/>
          <w:numId w:val="2"/>
        </w:numPr>
        <w:spacing w:after="40" w:before="40"/>
      </w:pPr>
      <w:r>
        <w:rPr>
          <w:rFonts w:ascii="Arial" w:cs="Arial" w:eastAsia="Arial" w:hAnsi="Arial"/>
          <w:color w:val="333333"/>
          <w:sz w:val="20"/>
          <w:szCs w:val="20"/>
        </w:rPr>
        <w:t xml:space="preserve">Right to rectification (Article 16 GDPR)</w:t>
      </w:r>
    </w:p>
    <w:p>
      <w:pPr>
        <w:pStyle w:val="ListParagraph"/>
        <w:numPr>
          <w:ilvl w:val="0"/>
          <w:numId w:val="2"/>
        </w:numPr>
        <w:spacing w:after="40" w:before="40"/>
      </w:pPr>
      <w:r>
        <w:rPr>
          <w:rFonts w:ascii="Arial" w:cs="Arial" w:eastAsia="Arial" w:hAnsi="Arial"/>
          <w:color w:val="333333"/>
          <w:sz w:val="20"/>
          <w:szCs w:val="20"/>
        </w:rPr>
        <w:t xml:space="preserve">Right to erasure ('right to be forgotten') (Article 17 GDPR)</w:t>
      </w:r>
    </w:p>
    <w:p>
      <w:pPr>
        <w:pStyle w:val="ListParagraph"/>
        <w:numPr>
          <w:ilvl w:val="0"/>
          <w:numId w:val="2"/>
        </w:numPr>
        <w:spacing w:after="40" w:before="40"/>
      </w:pPr>
      <w:r>
        <w:rPr>
          <w:rFonts w:ascii="Arial" w:cs="Arial" w:eastAsia="Arial" w:hAnsi="Arial"/>
          <w:color w:val="333333"/>
          <w:sz w:val="20"/>
          <w:szCs w:val="20"/>
        </w:rPr>
        <w:t xml:space="preserve">Right to restriction of processing (Article 18 GDPR)</w:t>
      </w:r>
    </w:p>
    <w:p>
      <w:pPr>
        <w:pStyle w:val="ListParagraph"/>
        <w:numPr>
          <w:ilvl w:val="0"/>
          <w:numId w:val="2"/>
        </w:numPr>
        <w:spacing w:after="40" w:before="40"/>
      </w:pPr>
      <w:r>
        <w:rPr>
          <w:rFonts w:ascii="Arial" w:cs="Arial" w:eastAsia="Arial" w:hAnsi="Arial"/>
          <w:color w:val="333333"/>
          <w:sz w:val="20"/>
          <w:szCs w:val="20"/>
        </w:rPr>
        <w:t xml:space="preserve">Right to data portability (Article 20 GDPR)</w:t>
      </w:r>
    </w:p>
    <w:p>
      <w:pPr>
        <w:pStyle w:val="ListParagraph"/>
        <w:numPr>
          <w:ilvl w:val="0"/>
          <w:numId w:val="2"/>
        </w:numPr>
        <w:spacing w:after="40" w:before="40"/>
      </w:pPr>
      <w:r>
        <w:rPr>
          <w:rFonts w:ascii="Arial" w:cs="Arial" w:eastAsia="Arial" w:hAnsi="Arial"/>
          <w:color w:val="333333"/>
          <w:sz w:val="20"/>
          <w:szCs w:val="20"/>
        </w:rPr>
        <w:t xml:space="preserve">Right to object (Article 21 GDPR)</w:t>
      </w:r>
    </w:p>
    <w:p>
      <w:pPr>
        <w:spacing w:after="80" w:before="80"/>
      </w:pPr>
      <w:r>
        <w:rPr>
          <w:rFonts w:ascii="Arial" w:cs="Arial" w:eastAsia="Arial" w:hAnsi="Arial"/>
          <w:color w:val="333333"/>
          <w:sz w:val="20"/>
          <w:szCs w:val="20"/>
        </w:rPr>
        <w:t xml:space="preserve">The Processor shall forward any data subject request received directly to the Controller within 5 business days. The Controller remains responsible for responding to data subjects within the statutory timeframes.</w:t>
      </w:r>
    </w:p>
    <w:p>
      <w:pPr>
        <w:pStyle w:val="Heading1"/>
        <w:pBdr>
          <w:bottom w:val="single" w:color="1A9E75" w:sz="4" w:space="4"/>
        </w:pBdr>
        <w:spacing w:after="120" w:before="360"/>
      </w:pPr>
      <w:r>
        <w:rPr>
          <w:rFonts w:ascii="Arial" w:cs="Arial" w:eastAsia="Arial" w:hAnsi="Arial"/>
          <w:b/>
          <w:bCs/>
          <w:color w:val="1A9E75"/>
          <w:sz w:val="28"/>
          <w:szCs w:val="28"/>
        </w:rPr>
        <w:t xml:space="preserve">10. Data Retention and Deletion</w:t>
      </w:r>
    </w:p>
    <w:p>
      <w:pPr>
        <w:spacing w:after="80" w:before="80"/>
      </w:pPr>
      <w:r>
        <w:rPr>
          <w:rFonts w:ascii="Arial" w:cs="Arial" w:eastAsia="Arial" w:hAnsi="Arial"/>
          <w:color w:val="333333"/>
          <w:sz w:val="20"/>
          <w:szCs w:val="20"/>
        </w:rPr>
        <w:t xml:space="preserve">10.1  Personal data shall be retained for no longer than necessary for the purposes for which it is processed.</w:t>
      </w:r>
    </w:p>
    <w:p>
      <w:pPr>
        <w:spacing w:after="80" w:before="80"/>
      </w:pPr>
      <w:r>
        <w:rPr>
          <w:rFonts w:ascii="Arial" w:cs="Arial" w:eastAsia="Arial" w:hAnsi="Arial"/>
          <w:color w:val="333333"/>
          <w:sz w:val="20"/>
          <w:szCs w:val="20"/>
        </w:rPr>
        <w:t xml:space="preserve">10.2  Default retention periods: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Data Category</w:t>
            </w:r>
          </w:p>
        </w:tc>
        <w:tc>
          <w:tcPr>
            <w:tcW w:type="dxa" w:w="468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Retention Period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Student wellbeing data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Duration of enrolment + 1 year</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Lesson feedback (anonymised)</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Duration of school subscription + 3 years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Teacher and staff data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Duration of employment + 1 year</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Counsellor clinical notes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As directed by Controller (statutory minimum applies)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Account and billing data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7 years (statutory accounting requirement)</w:t>
            </w:r>
          </w:p>
        </w:tc>
      </w:tr>
    </w:tbl>
    <w:p>
      <w:pPr>
        <w:spacing w:after="0" w:before="0"/>
      </w:pPr>
    </w:p>
    <w:p>
      <w:pPr>
        <w:spacing w:after="80" w:before="80"/>
      </w:pPr>
      <w:r>
        <w:rPr>
          <w:rFonts w:ascii="Arial" w:cs="Arial" w:eastAsia="Arial" w:hAnsi="Arial"/>
          <w:color w:val="333333"/>
          <w:sz w:val="20"/>
          <w:szCs w:val="20"/>
        </w:rPr>
        <w:t xml:space="preserve">10.3  Upon termination of the service agreement, the Processor shall, at the Controller's choice, either return all personal data in a portable format (CSV/JSON) within 30 days, or securely delete all personal data and provide written confirmation of deletion within 30 days.</w:t>
      </w:r>
    </w:p>
    <w:p>
      <w:pPr>
        <w:pStyle w:val="Heading1"/>
        <w:pBdr>
          <w:bottom w:val="single" w:color="1A9E75" w:sz="4" w:space="4"/>
        </w:pBdr>
        <w:spacing w:after="120" w:before="360"/>
      </w:pPr>
      <w:r>
        <w:rPr>
          <w:rFonts w:ascii="Arial" w:cs="Arial" w:eastAsia="Arial" w:hAnsi="Arial"/>
          <w:b/>
          <w:bCs/>
          <w:color w:val="1A9E75"/>
          <w:sz w:val="28"/>
          <w:szCs w:val="28"/>
        </w:rPr>
        <w:t xml:space="preserve">11. Personal Data Breach Notification</w:t>
      </w:r>
    </w:p>
    <w:p>
      <w:pPr>
        <w:spacing w:after="80" w:before="80"/>
      </w:pPr>
      <w:r>
        <w:rPr>
          <w:rFonts w:ascii="Arial" w:cs="Arial" w:eastAsia="Arial" w:hAnsi="Arial"/>
          <w:color w:val="333333"/>
          <w:sz w:val="20"/>
          <w:szCs w:val="20"/>
        </w:rPr>
        <w:t xml:space="preserve">11.1  In the event of a personal data breach, the Processor shall notify the Controller without undue delay and, where feasible, no later than 72 hours after becoming aware of the breach.</w:t>
      </w:r>
    </w:p>
    <w:p>
      <w:pPr>
        <w:spacing w:after="80" w:before="80"/>
      </w:pPr>
      <w:r>
        <w:rPr>
          <w:rFonts w:ascii="Arial" w:cs="Arial" w:eastAsia="Arial" w:hAnsi="Arial"/>
          <w:color w:val="333333"/>
          <w:sz w:val="20"/>
          <w:szCs w:val="20"/>
        </w:rPr>
        <w:t xml:space="preserve">11.2  The notification shall include, to the extent available:</w:t>
      </w:r>
    </w:p>
    <w:p>
      <w:pPr>
        <w:pStyle w:val="ListParagraph"/>
        <w:numPr>
          <w:ilvl w:val="0"/>
          <w:numId w:val="2"/>
        </w:numPr>
        <w:spacing w:after="40" w:before="40"/>
      </w:pPr>
      <w:r>
        <w:rPr>
          <w:rFonts w:ascii="Arial" w:cs="Arial" w:eastAsia="Arial" w:hAnsi="Arial"/>
          <w:color w:val="333333"/>
          <w:sz w:val="20"/>
          <w:szCs w:val="20"/>
        </w:rPr>
        <w:t xml:space="preserve">A description of the nature of the personal data breach</w:t>
      </w:r>
    </w:p>
    <w:p>
      <w:pPr>
        <w:pStyle w:val="ListParagraph"/>
        <w:numPr>
          <w:ilvl w:val="0"/>
          <w:numId w:val="2"/>
        </w:numPr>
        <w:spacing w:after="40" w:before="40"/>
      </w:pPr>
      <w:r>
        <w:rPr>
          <w:rFonts w:ascii="Arial" w:cs="Arial" w:eastAsia="Arial" w:hAnsi="Arial"/>
          <w:color w:val="333333"/>
          <w:sz w:val="20"/>
          <w:szCs w:val="20"/>
        </w:rPr>
        <w:t xml:space="preserve">The categories and approximate number of data subjects and personal data records concerned</w:t>
      </w:r>
    </w:p>
    <w:p>
      <w:pPr>
        <w:pStyle w:val="ListParagraph"/>
        <w:numPr>
          <w:ilvl w:val="0"/>
          <w:numId w:val="2"/>
        </w:numPr>
        <w:spacing w:after="40" w:before="40"/>
      </w:pPr>
      <w:r>
        <w:rPr>
          <w:rFonts w:ascii="Arial" w:cs="Arial" w:eastAsia="Arial" w:hAnsi="Arial"/>
          <w:color w:val="333333"/>
          <w:sz w:val="20"/>
          <w:szCs w:val="20"/>
        </w:rPr>
        <w:t xml:space="preserve">The likely consequences of the personal data breach</w:t>
      </w:r>
    </w:p>
    <w:p>
      <w:pPr>
        <w:pStyle w:val="ListParagraph"/>
        <w:numPr>
          <w:ilvl w:val="0"/>
          <w:numId w:val="2"/>
        </w:numPr>
        <w:spacing w:after="40" w:before="40"/>
      </w:pPr>
      <w:r>
        <w:rPr>
          <w:rFonts w:ascii="Arial" w:cs="Arial" w:eastAsia="Arial" w:hAnsi="Arial"/>
          <w:color w:val="333333"/>
          <w:sz w:val="20"/>
          <w:szCs w:val="20"/>
        </w:rPr>
        <w:t xml:space="preserve">The measures taken or proposed to be taken to address the breach</w:t>
      </w:r>
    </w:p>
    <w:p>
      <w:pPr>
        <w:spacing w:after="80" w:before="80"/>
      </w:pPr>
      <w:r>
        <w:rPr>
          <w:rFonts w:ascii="Arial" w:cs="Arial" w:eastAsia="Arial" w:hAnsi="Arial"/>
          <w:color w:val="333333"/>
          <w:sz w:val="20"/>
          <w:szCs w:val="20"/>
        </w:rPr>
        <w:t xml:space="preserve">11.3  The Controller remains responsible for notifying the relevant supervisory authority and affected data subjects in accordance with Articles 33 and 34 GDPR.</w:t>
      </w:r>
    </w:p>
    <w:p>
      <w:pPr>
        <w:pStyle w:val="Heading1"/>
        <w:pBdr>
          <w:bottom w:val="single" w:color="1A9E75" w:sz="4" w:space="4"/>
        </w:pBdr>
        <w:spacing w:after="120" w:before="360"/>
      </w:pPr>
      <w:r>
        <w:rPr>
          <w:rFonts w:ascii="Arial" w:cs="Arial" w:eastAsia="Arial" w:hAnsi="Arial"/>
          <w:b/>
          <w:bCs/>
          <w:color w:val="1A9E75"/>
          <w:sz w:val="28"/>
          <w:szCs w:val="28"/>
        </w:rPr>
        <w:t xml:space="preserve">12. Audits and Inspections</w:t>
      </w:r>
    </w:p>
    <w:p>
      <w:pPr>
        <w:spacing w:after="80" w:before="80"/>
      </w:pPr>
      <w:r>
        <w:rPr>
          <w:rFonts w:ascii="Arial" w:cs="Arial" w:eastAsia="Arial" w:hAnsi="Arial"/>
          <w:color w:val="333333"/>
          <w:sz w:val="20"/>
          <w:szCs w:val="20"/>
        </w:rPr>
        <w:t xml:space="preserve">12.1  The Processor shall make available to the Controller all information necessary to demonstrate compliance with this DPA and shall allow for and contribute to audits, including inspections, conducted by the Controller or an auditor mandated by the Controller.</w:t>
      </w:r>
    </w:p>
    <w:p>
      <w:pPr>
        <w:spacing w:after="80" w:before="80"/>
      </w:pPr>
      <w:r>
        <w:rPr>
          <w:rFonts w:ascii="Arial" w:cs="Arial" w:eastAsia="Arial" w:hAnsi="Arial"/>
          <w:color w:val="333333"/>
          <w:sz w:val="20"/>
          <w:szCs w:val="20"/>
        </w:rPr>
        <w:t xml:space="preserve">12.2  The Processor shall notify the Controller immediately if, in its opinion, an instruction given by the Controller infringes the GDPR or other applicable data protection provisions.</w:t>
      </w:r>
    </w:p>
    <w:p>
      <w:pPr>
        <w:spacing w:after="80" w:before="80"/>
      </w:pPr>
      <w:r>
        <w:rPr>
          <w:rFonts w:ascii="Arial" w:cs="Arial" w:eastAsia="Arial" w:hAnsi="Arial"/>
          <w:color w:val="333333"/>
          <w:sz w:val="20"/>
          <w:szCs w:val="20"/>
        </w:rPr>
        <w:t xml:space="preserve">12.3  Audit requests must be provided with reasonable notice (minimum 14 days) and conducted in a manner that does not unduly disrupt the Processor's operations.</w:t>
      </w:r>
    </w:p>
    <w:p>
      <w:pPr>
        <w:pStyle w:val="Heading1"/>
        <w:pBdr>
          <w:bottom w:val="single" w:color="1A9E75" w:sz="4" w:space="4"/>
        </w:pBdr>
        <w:spacing w:after="120" w:before="360"/>
      </w:pPr>
      <w:r>
        <w:rPr>
          <w:rFonts w:ascii="Arial" w:cs="Arial" w:eastAsia="Arial" w:hAnsi="Arial"/>
          <w:b/>
          <w:bCs/>
          <w:color w:val="1A9E75"/>
          <w:sz w:val="28"/>
          <w:szCs w:val="28"/>
        </w:rPr>
        <w:t xml:space="preserve">13. Liability and Indemnification</w:t>
      </w:r>
    </w:p>
    <w:p>
      <w:pPr>
        <w:spacing w:after="80" w:before="80"/>
      </w:pPr>
      <w:r>
        <w:rPr>
          <w:rFonts w:ascii="Arial" w:cs="Arial" w:eastAsia="Arial" w:hAnsi="Arial"/>
          <w:color w:val="333333"/>
          <w:sz w:val="20"/>
          <w:szCs w:val="20"/>
        </w:rPr>
        <w:t xml:space="preserve">13.1  Each party shall be liable for damage caused by processing that infringes the GDPR in accordance with Article 82 GDPR.</w:t>
      </w:r>
    </w:p>
    <w:p>
      <w:pPr>
        <w:spacing w:after="80" w:before="80"/>
      </w:pPr>
      <w:r>
        <w:rPr>
          <w:rFonts w:ascii="Arial" w:cs="Arial" w:eastAsia="Arial" w:hAnsi="Arial"/>
          <w:color w:val="333333"/>
          <w:sz w:val="20"/>
          <w:szCs w:val="20"/>
        </w:rPr>
        <w:t xml:space="preserve">13.2  The Processor shall be exempt from liability if it proves that it is not in any way responsible for the event giving rise to the damage.</w:t>
      </w:r>
    </w:p>
    <w:p>
      <w:pPr>
        <w:spacing w:after="80" w:before="80"/>
      </w:pPr>
      <w:r>
        <w:rPr>
          <w:rFonts w:ascii="Arial" w:cs="Arial" w:eastAsia="Arial" w:hAnsi="Arial"/>
          <w:color w:val="333333"/>
          <w:sz w:val="20"/>
          <w:szCs w:val="20"/>
        </w:rPr>
        <w:t xml:space="preserve">13.3  The Processor's liability under this DPA shall be limited to direct damages and shall not exceed the total fees paid by the Controller in the twelve months preceding the event giving rise to the claim.</w:t>
      </w:r>
    </w:p>
    <w:p>
      <w:pPr>
        <w:pStyle w:val="Heading1"/>
        <w:pBdr>
          <w:bottom w:val="single" w:color="1A9E75" w:sz="4" w:space="4"/>
        </w:pBdr>
        <w:spacing w:after="120" w:before="360"/>
      </w:pPr>
      <w:r>
        <w:rPr>
          <w:rFonts w:ascii="Arial" w:cs="Arial" w:eastAsia="Arial" w:hAnsi="Arial"/>
          <w:b/>
          <w:bCs/>
          <w:color w:val="1A9E75"/>
          <w:sz w:val="28"/>
          <w:szCs w:val="28"/>
        </w:rPr>
        <w:t xml:space="preserve">14. Governing Law and Jurisdiction</w:t>
      </w:r>
    </w:p>
    <w:p>
      <w:pPr>
        <w:spacing w:after="80" w:before="80"/>
      </w:pPr>
      <w:r>
        <w:rPr>
          <w:rFonts w:ascii="Arial" w:cs="Arial" w:eastAsia="Arial" w:hAnsi="Arial"/>
          <w:color w:val="333333"/>
          <w:sz w:val="20"/>
          <w:szCs w:val="20"/>
        </w:rPr>
        <w:t xml:space="preserve">14.1  This DPA shall be governed by the laws of the Republic of Lithuania and the directly applicable provisions of the GDPR (Regulation (EU) 2016/679).</w:t>
      </w:r>
    </w:p>
    <w:p>
      <w:pPr>
        <w:spacing w:after="80" w:before="80"/>
      </w:pPr>
      <w:r>
        <w:rPr>
          <w:rFonts w:ascii="Arial" w:cs="Arial" w:eastAsia="Arial" w:hAnsi="Arial"/>
          <w:color w:val="333333"/>
          <w:sz w:val="20"/>
          <w:szCs w:val="20"/>
        </w:rPr>
        <w:t xml:space="preserve">14.2  Any dispute arising out of or in connection with this DPA shall be subject to the exclusive jurisdiction of the courts of Kaunas, Lithuania, unless otherwise required by the applicable law of the Controller's jurisdiction.</w:t>
      </w:r>
    </w:p>
    <w:p>
      <w:pPr>
        <w:pStyle w:val="Heading1"/>
        <w:pBdr>
          <w:bottom w:val="single" w:color="1A9E75" w:sz="4" w:space="4"/>
        </w:pBdr>
        <w:spacing w:after="120" w:before="360"/>
      </w:pPr>
      <w:r>
        <w:rPr>
          <w:rFonts w:ascii="Arial" w:cs="Arial" w:eastAsia="Arial" w:hAnsi="Arial"/>
          <w:b/>
          <w:bCs/>
          <w:color w:val="1A9E75"/>
          <w:sz w:val="28"/>
          <w:szCs w:val="28"/>
        </w:rPr>
        <w:t xml:space="preserve">15. Signatures</w:t>
      </w:r>
    </w:p>
    <w:p>
      <w:pPr>
        <w:spacing w:after="80" w:before="80"/>
      </w:pPr>
      <w:r>
        <w:rPr>
          <w:rFonts w:ascii="Arial" w:cs="Arial" w:eastAsia="Arial" w:hAnsi="Arial"/>
          <w:color w:val="333333"/>
          <w:sz w:val="20"/>
          <w:szCs w:val="20"/>
        </w:rPr>
        <w:t xml:space="preserve">This DPA is entered into by the parties as of the date first written above.</w:t>
      </w:r>
    </w:p>
    <w:p>
      <w:pPr>
        <w:spacing w:after="4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r>
              <w:rPr>
                <w:rFonts w:ascii="Arial" w:cs="Arial" w:eastAsia="Arial" w:hAnsi="Arial"/>
                <w:b/>
                <w:bCs/>
                <w:color w:val="333333"/>
                <w:sz w:val="20"/>
                <w:szCs w:val="20"/>
              </w:rPr>
              <w:t xml:space="preserve">For and on behalf of the Controller:</w:t>
            </w:r>
          </w:p>
          <w:p>
            <w:pPr>
              <w:spacing w:before="480"/>
            </w:pPr>
            <w:r>
              <w:rPr>
                <w:rFonts w:ascii="Arial" w:cs="Arial" w:eastAsia="Arial" w:hAnsi="Arial"/>
                <w:color w:val="333333"/>
                <w:sz w:val="20"/>
                <w:szCs w:val="20"/>
              </w:rPr>
              <w:t xml:space="preserve">Signature: _________________________</w:t>
            </w:r>
          </w:p>
          <w:p>
            <w:pPr>
              <w:spacing w:before="240"/>
            </w:pPr>
            <w:r>
              <w:rPr>
                <w:rFonts w:ascii="Arial" w:cs="Arial" w:eastAsia="Arial" w:hAnsi="Arial"/>
                <w:color w:val="333333"/>
                <w:sz w:val="20"/>
                <w:szCs w:val="20"/>
              </w:rPr>
              <w:t xml:space="preserve">Name: _____________________________</w:t>
            </w:r>
          </w:p>
          <w:p>
            <w:pPr>
              <w:spacing w:before="240"/>
            </w:pPr>
            <w:r>
              <w:rPr>
                <w:rFonts w:ascii="Arial" w:cs="Arial" w:eastAsia="Arial" w:hAnsi="Arial"/>
                <w:color w:val="333333"/>
                <w:sz w:val="20"/>
                <w:szCs w:val="20"/>
              </w:rPr>
              <w:t xml:space="preserve">Title: ______________________________</w:t>
            </w:r>
          </w:p>
          <w:p>
            <w:pPr>
              <w:spacing w:before="240"/>
            </w:pPr>
            <w:r>
              <w:rPr>
                <w:rFonts w:ascii="Arial" w:cs="Arial" w:eastAsia="Arial" w:hAnsi="Arial"/>
                <w:color w:val="333333"/>
                <w:sz w:val="20"/>
                <w:szCs w:val="20"/>
              </w:rPr>
              <w:t xml:space="preserve">Date: ______________________________</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r>
              <w:rPr>
                <w:rFonts w:ascii="Arial" w:cs="Arial" w:eastAsia="Arial" w:hAnsi="Arial"/>
                <w:b/>
                <w:bCs/>
                <w:color w:val="333333"/>
                <w:sz w:val="20"/>
                <w:szCs w:val="20"/>
              </w:rPr>
              <w:t xml:space="preserve">For and on behalf of the Processor:</w:t>
            </w:r>
          </w:p>
          <w:p>
            <w:pPr>
              <w:spacing w:before="480"/>
            </w:pPr>
            <w:r>
              <w:rPr>
                <w:rFonts w:ascii="Arial" w:cs="Arial" w:eastAsia="Arial" w:hAnsi="Arial"/>
                <w:color w:val="333333"/>
                <w:sz w:val="20"/>
                <w:szCs w:val="20"/>
              </w:rPr>
              <w:t xml:space="preserve">Signature: _________________________</w:t>
            </w:r>
          </w:p>
          <w:p>
            <w:pPr>
              <w:spacing w:before="240"/>
            </w:pPr>
            <w:r>
              <w:rPr>
                <w:rFonts w:ascii="Arial" w:cs="Arial" w:eastAsia="Arial" w:hAnsi="Arial"/>
                <w:color w:val="333333"/>
                <w:sz w:val="20"/>
                <w:szCs w:val="20"/>
              </w:rPr>
              <w:t xml:space="preserve">Name: Zulfi Moon</w:t>
            </w:r>
          </w:p>
          <w:p>
            <w:pPr>
              <w:spacing w:before="240"/>
            </w:pPr>
            <w:r>
              <w:rPr>
                <w:rFonts w:ascii="Arial" w:cs="Arial" w:eastAsia="Arial" w:hAnsi="Arial"/>
                <w:color w:val="333333"/>
                <w:sz w:val="20"/>
                <w:szCs w:val="20"/>
              </w:rPr>
              <w:t xml:space="preserve">Title: Founder, LessonsLearnt.eu</w:t>
            </w:r>
          </w:p>
          <w:p>
            <w:pPr>
              <w:spacing w:before="240"/>
            </w:pPr>
            <w:r>
              <w:rPr>
                <w:rFonts w:ascii="Arial" w:cs="Arial" w:eastAsia="Arial" w:hAnsi="Arial"/>
                <w:color w:val="333333"/>
                <w:sz w:val="20"/>
                <w:szCs w:val="20"/>
              </w:rPr>
              <w:t xml:space="preserve">Date: ______________________________</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LessonsLearnt.eu | Salyno g. 13-1, Kaunas 47166, Lithuania | support@lessonslearnt.eu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9E75" w:sz="4" w:space="4"/>
      </w:pBdr>
    </w:pPr>
    <w:r>
      <w:rPr>
        <w:rFonts w:ascii="Arial" w:cs="Arial" w:eastAsia="Arial" w:hAnsi="Arial"/>
        <w:b/>
        <w:bCs/>
        <w:color w:val="1A9E75"/>
        <w:sz w:val="20"/>
        <w:szCs w:val="20"/>
      </w:rPr>
      <w:t xml:space="preserve">LessonsLearnt.eu</w:t>
    </w:r>
    <w:r>
      <w:rPr>
        <w:rFonts w:ascii="Arial" w:cs="Arial" w:eastAsia="Arial" w:hAnsi="Arial"/>
        <w:color w:val="888888"/>
        <w:sz w:val="20"/>
        <w:szCs w:val="20"/>
      </w:rPr>
      <w:t xml:space="preserve">  |  Data Processing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9E75"/>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2026-06-10T07:07:25.024Z</dcterms:created>
  <dcterms:modified xsi:type="dcterms:W3CDTF">2026-06-10T07:07:25.024Z</dcterms:modified>
</cp:coreProperties>
</file>

<file path=docProps/custom.xml><?xml version="1.0" encoding="utf-8"?>
<Properties xmlns="http://schemas.openxmlformats.org/officeDocument/2006/custom-properties" xmlns:vt="http://schemas.openxmlformats.org/officeDocument/2006/docPropsVTypes"/>
</file>